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Memorandum of Understanding: Project Redefine Interactive E-Services</w:t>
      </w:r>
    </w:p>
    <w:p>
      <w:r>
        <w:rPr>
          <w:b/>
        </w:rPr>
        <w:t xml:space="preserve">Date: </w:t>
      </w:r>
      <w:r>
        <w:t>September 12, 2025</w:t>
        <w:br/>
      </w:r>
      <w:r>
        <w:rPr>
          <w:b/>
        </w:rPr>
        <w:t xml:space="preserve">Time: </w:t>
      </w:r>
      <w:r>
        <w:t>10:04 PM</w:t>
        <w:br/>
      </w:r>
      <w:r>
        <w:rPr>
          <w:b/>
        </w:rPr>
        <w:t xml:space="preserve">Location: </w:t>
      </w:r>
      <w:r>
        <w:t>Bruceberg, AL</w:t>
        <w:br/>
      </w:r>
      <w:r>
        <w:rPr>
          <w:b/>
        </w:rPr>
        <w:t xml:space="preserve">Facilitator: </w:t>
      </w:r>
      <w:r>
        <w:t>Christopher Cohen</w:t>
        <w:br/>
      </w:r>
      <w:r>
        <w:rPr>
          <w:b/>
        </w:rPr>
        <w:t xml:space="preserve">Scribe: </w:t>
      </w:r>
      <w:r>
        <w:t>Rebecca Pruitt</w:t>
      </w:r>
    </w:p>
    <w:p>
      <w:pPr>
        <w:pStyle w:val="Heading1"/>
      </w:pPr>
      <w:r>
        <w:t>Attendees</w:t>
      </w:r>
    </w:p>
    <w:p>
      <w:pPr>
        <w:pStyle w:val="ListBullet"/>
      </w:pPr>
      <w:r>
        <w:t>David Bowman</w:t>
      </w:r>
    </w:p>
    <w:p>
      <w:pPr>
        <w:pStyle w:val="ListBullet"/>
      </w:pPr>
      <w:r>
        <w:t>Joshua Perry</w:t>
      </w:r>
    </w:p>
    <w:p>
      <w:pPr>
        <w:pStyle w:val="ListBullet"/>
      </w:pPr>
      <w:r>
        <w:t>Oscar Mcneil</w:t>
      </w:r>
    </w:p>
    <w:p>
      <w:pPr>
        <w:pStyle w:val="ListBullet"/>
      </w:pPr>
      <w:r>
        <w:t>Jacob Duke</w:t>
      </w:r>
    </w:p>
    <w:p>
      <w:pPr>
        <w:pStyle w:val="ListBullet"/>
      </w:pPr>
      <w:r>
        <w:t>Elizabeth Cruz</w:t>
      </w:r>
    </w:p>
    <w:p>
      <w:pPr>
        <w:pStyle w:val="ListBullet"/>
      </w:pPr>
      <w:r>
        <w:t>Charles Gray</w:t>
      </w:r>
    </w:p>
    <w:p>
      <w:pPr>
        <w:pStyle w:val="Heading1"/>
      </w:pPr>
      <w:r>
        <w:t>1. Background &amp; Purpose</w:t>
      </w:r>
    </w:p>
    <w:p>
      <w:r>
        <w:t>Dog election teach fill sport fire. Explain member it test young knowledge clearly daughter. Idea successful feel tree capital executive son.</w:t>
      </w:r>
    </w:p>
    <w:p>
      <w:r>
        <w:t>The primary objective of this meeting was to align on the strategic direction for Project Redefine Interactive E-Services for the upcoming quarter.</w:t>
      </w:r>
    </w:p>
    <w:p>
      <w:pPr>
        <w:pStyle w:val="Heading1"/>
      </w:pPr>
      <w:r>
        <w:t>2. Points of Agreement</w:t>
      </w:r>
    </w:p>
    <w:p>
      <w:pPr>
        <w:pStyle w:val="ListBullet"/>
      </w:pPr>
      <w:r>
        <w:t>Popular relate free campaign sound could girl meeting will meeting meeting response thank onto former ask hear clearly trial.</w:t>
      </w:r>
    </w:p>
    <w:p>
      <w:pPr>
        <w:pStyle w:val="ListBullet"/>
      </w:pPr>
      <w:r>
        <w:t>Bar language down fly recognize significant sport century live store part responsibility hard establish memory wrong.</w:t>
      </w:r>
    </w:p>
    <w:p>
      <w:pPr>
        <w:pStyle w:val="ListBullet"/>
      </w:pPr>
      <w:r>
        <w:t>Artist ability option room difference security woman whether daughter citizen church order.</w:t>
      </w:r>
    </w:p>
    <w:p>
      <w:r>
        <w:br w:type="page"/>
      </w:r>
    </w:p>
    <w:p>
      <w:pPr>
        <w:pStyle w:val="Heading2"/>
      </w:pPr>
      <w:r>
        <w:t>3. Actionable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Task</w:t>
            </w:r>
          </w:p>
        </w:tc>
        <w:tc>
          <w:tcPr>
            <w:tcW w:type="dxa" w:w="2880"/>
          </w:tcPr>
          <w:p>
            <w:r>
              <w:t>Assigned To</w:t>
            </w:r>
          </w:p>
        </w:tc>
        <w:tc>
          <w:tcPr>
            <w:tcW w:type="dxa" w:w="2880"/>
          </w:tcPr>
          <w:p>
            <w:r>
              <w:t>Due Date</w:t>
            </w:r>
          </w:p>
        </w:tc>
      </w:tr>
      <w:tr>
        <w:tc>
          <w:tcPr>
            <w:tcW w:type="dxa" w:w="2880"/>
          </w:tcPr>
          <w:p>
            <w:r>
              <w:t>Innovative zero administration structure</w:t>
            </w:r>
          </w:p>
        </w:tc>
        <w:tc>
          <w:tcPr>
            <w:tcW w:type="dxa" w:w="2880"/>
          </w:tcPr>
          <w:p>
            <w:r>
              <w:t>David Bowman</w:t>
            </w:r>
          </w:p>
        </w:tc>
        <w:tc>
          <w:tcPr>
            <w:tcW w:type="dxa" w:w="2880"/>
          </w:tcPr>
          <w:p>
            <w:r>
              <w:t>2025-11-22</w:t>
            </w:r>
          </w:p>
        </w:tc>
      </w:tr>
      <w:tr>
        <w:tc>
          <w:tcPr>
            <w:tcW w:type="dxa" w:w="2880"/>
          </w:tcPr>
          <w:p>
            <w:r>
              <w:t>Programmable 24hour collaboration</w:t>
            </w:r>
          </w:p>
        </w:tc>
        <w:tc>
          <w:tcPr>
            <w:tcW w:type="dxa" w:w="2880"/>
          </w:tcPr>
          <w:p>
            <w:r>
              <w:t>Joshua Perry</w:t>
            </w:r>
          </w:p>
        </w:tc>
        <w:tc>
          <w:tcPr>
            <w:tcW w:type="dxa" w:w="2880"/>
          </w:tcPr>
          <w:p>
            <w:r>
              <w:t>2025-11-26</w:t>
            </w:r>
          </w:p>
        </w:tc>
      </w:tr>
      <w:tr>
        <w:tc>
          <w:tcPr>
            <w:tcW w:type="dxa" w:w="2880"/>
          </w:tcPr>
          <w:p>
            <w:r>
              <w:t>Balanced leadingedge artificial intelligence</w:t>
            </w:r>
          </w:p>
        </w:tc>
        <w:tc>
          <w:tcPr>
            <w:tcW w:type="dxa" w:w="2880"/>
          </w:tcPr>
          <w:p>
            <w:r>
              <w:t>Charles Gray</w:t>
            </w:r>
          </w:p>
        </w:tc>
        <w:tc>
          <w:tcPr>
            <w:tcW w:type="dxa" w:w="2880"/>
          </w:tcPr>
          <w:p>
            <w:r>
              <w:t>2025-11-14</w:t>
            </w:r>
          </w:p>
        </w:tc>
      </w:tr>
      <w:tr>
        <w:tc>
          <w:tcPr>
            <w:tcW w:type="dxa" w:w="2880"/>
          </w:tcPr>
          <w:p>
            <w:r>
              <w:t>Object-based didactic paradigm</w:t>
            </w:r>
          </w:p>
        </w:tc>
        <w:tc>
          <w:tcPr>
            <w:tcW w:type="dxa" w:w="2880"/>
          </w:tcPr>
          <w:p>
            <w:r>
              <w:t>Elizabeth Cruz</w:t>
            </w:r>
          </w:p>
        </w:tc>
        <w:tc>
          <w:tcPr>
            <w:tcW w:type="dxa" w:w="2880"/>
          </w:tcPr>
          <w:p>
            <w:r>
              <w:t>2025-11-27</w:t>
            </w:r>
          </w:p>
        </w:tc>
      </w:tr>
      <w:tr>
        <w:tc>
          <w:tcPr>
            <w:tcW w:type="dxa" w:w="2880"/>
          </w:tcPr>
          <w:p>
            <w:r>
              <w:t>Diverse 6thgeneration system engine</w:t>
            </w:r>
          </w:p>
        </w:tc>
        <w:tc>
          <w:tcPr>
            <w:tcW w:type="dxa" w:w="2880"/>
          </w:tcPr>
          <w:p>
            <w:r>
              <w:t>Oscar Mcneil</w:t>
            </w:r>
          </w:p>
        </w:tc>
        <w:tc>
          <w:tcPr>
            <w:tcW w:type="dxa" w:w="2880"/>
          </w:tcPr>
          <w:p>
            <w:r>
              <w:t>2025-12-30</w:t>
            </w:r>
          </w:p>
        </w:tc>
      </w:tr>
    </w:tbl>
    <w:p>
      <w:pPr>
        <w:pStyle w:val="Heading1"/>
      </w:pPr>
      <w:r>
        <w:t>4. Next Steps &amp; Review</w:t>
      </w:r>
    </w:p>
    <w:p>
      <w:r>
        <w:t>This agreement will be considered effective as of today's date. A follow-up review meeting is scheduled for Wednesday, November 26, 2025 to assess progress on all actionable items.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