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CONFIDENTIAL</w:t>
      </w:r>
    </w:p>
    <w:p/>
    <w:p>
      <w:pPr>
        <w:pStyle w:val="Title"/>
      </w:pPr>
      <w:r>
        <w:t>Project Goliath: Q4 Business Plan Kickoff</w:t>
      </w:r>
    </w:p>
    <w:p>
      <w:r>
        <w:rPr>
          <w:b/>
        </w:rPr>
        <w:t xml:space="preserve">Facilitator: </w:t>
      </w:r>
      <w:r>
        <w:t>Patricia Anthony</w:t>
        <w:br/>
      </w:r>
      <w:r>
        <w:rPr>
          <w:b/>
        </w:rPr>
        <w:t xml:space="preserve">Date: </w:t>
      </w:r>
      <w:r>
        <w:t>June 18, 2025</w:t>
        <w:br/>
      </w:r>
      <w:r>
        <w:rPr>
          <w:b/>
        </w:rPr>
        <w:t xml:space="preserve">Location: </w:t>
      </w:r>
      <w:r>
        <w:t>Conference Room 5B</w:t>
        <w:br/>
      </w:r>
      <w:r>
        <w:rPr>
          <w:b/>
        </w:rPr>
        <w:t xml:space="preserve">Attendees: </w:t>
      </w:r>
      <w:r>
        <w:t>Carol Morgan, James Parks, Randall Roberts, Rachel Rangel, Benjamin Smith</w:t>
      </w:r>
    </w:p>
    <w:p>
      <w:pPr>
        <w:pStyle w:val="Heading1"/>
      </w:pPr>
      <w:r>
        <w:t>1. Meeting Objectives</w:t>
      </w:r>
    </w:p>
    <w:p>
      <w:r>
        <w:t>The primary objective of this meeting is to align on the strategic direction for Project Goliath for the upcoming quarter. We will define key performance indicators (KPIs), assign resources, and establish a clear timeline for deliverables.</w:t>
      </w:r>
    </w:p>
    <w:p>
      <w:pPr>
        <w:pStyle w:val="Heading1"/>
      </w:pPr>
      <w:r>
        <w:t>2. Key Discussion Points</w:t>
      </w:r>
    </w:p>
    <w:p>
      <w:pPr>
        <w:pStyle w:val="ListBullet"/>
      </w:pPr>
      <w:r>
        <w:t>Enhance cross-platform e-services.</w:t>
      </w:r>
    </w:p>
    <w:p>
      <w:pPr>
        <w:pStyle w:val="ListBullet"/>
      </w:pPr>
      <w:r>
        <w:t>Benchmark next-generation mindshare.</w:t>
      </w:r>
    </w:p>
    <w:p>
      <w:pPr>
        <w:pStyle w:val="ListBullet"/>
      </w:pPr>
      <w:r>
        <w:t>Architect distributed e-services.</w:t>
      </w:r>
    </w:p>
    <w:p>
      <w:pPr>
        <w:pStyle w:val="ListBullet"/>
      </w:pPr>
      <w:r>
        <w:t>Redefine visionary web-readiness.</w:t>
      </w:r>
    </w:p>
    <w:p>
      <w:r>
        <w:br w:type="page"/>
      </w:r>
    </w:p>
    <w:p>
      <w:pPr>
        <w:pStyle w:val="Heading2"/>
      </w:pPr>
      <w:r>
        <w:t>3. Action Items &amp; Next Steps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Action Item</w:t>
            </w:r>
          </w:p>
        </w:tc>
        <w:tc>
          <w:tcPr>
            <w:tcW w:type="dxa" w:w="2160"/>
          </w:tcPr>
          <w:p>
            <w:r>
              <w:t>Owner</w:t>
            </w:r>
          </w:p>
        </w:tc>
        <w:tc>
          <w:tcPr>
            <w:tcW w:type="dxa" w:w="2160"/>
          </w:tcPr>
          <w:p>
            <w:r>
              <w:t>Department</w:t>
            </w:r>
          </w:p>
        </w:tc>
        <w:tc>
          <w:tcPr>
            <w:tcW w:type="dxa" w:w="2160"/>
          </w:tcPr>
          <w:p>
            <w:r>
              <w:t>Due Date</w:t>
            </w:r>
          </w:p>
        </w:tc>
      </w:tr>
      <w:tr>
        <w:tc>
          <w:tcPr>
            <w:tcW w:type="dxa" w:w="2160"/>
          </w:tcPr>
          <w:p>
            <w:r>
              <w:t>Up-sized client-server architecture</w:t>
            </w:r>
          </w:p>
        </w:tc>
        <w:tc>
          <w:tcPr>
            <w:tcW w:type="dxa" w:w="2160"/>
          </w:tcPr>
          <w:p>
            <w:r>
              <w:t>Aaron Peters</w:t>
            </w:r>
          </w:p>
        </w:tc>
        <w:tc>
          <w:tcPr>
            <w:tcW w:type="dxa" w:w="2160"/>
          </w:tcPr>
          <w:p>
            <w:r>
              <w:t>Marketing</w:t>
            </w:r>
          </w:p>
        </w:tc>
        <w:tc>
          <w:tcPr>
            <w:tcW w:type="dxa" w:w="2160"/>
          </w:tcPr>
          <w:p>
            <w:r>
              <w:t>2025-11-17</w:t>
            </w:r>
          </w:p>
        </w:tc>
      </w:tr>
      <w:tr>
        <w:tc>
          <w:tcPr>
            <w:tcW w:type="dxa" w:w="2160"/>
          </w:tcPr>
          <w:p>
            <w:r>
              <w:t>Future-proofed context-sensitive migration</w:t>
            </w:r>
          </w:p>
        </w:tc>
        <w:tc>
          <w:tcPr>
            <w:tcW w:type="dxa" w:w="2160"/>
          </w:tcPr>
          <w:p>
            <w:r>
              <w:t>Linda Ferguson</w:t>
            </w:r>
          </w:p>
        </w:tc>
        <w:tc>
          <w:tcPr>
            <w:tcW w:type="dxa" w:w="2160"/>
          </w:tcPr>
          <w:p>
            <w:r>
              <w:t>Operations</w:t>
            </w:r>
          </w:p>
        </w:tc>
        <w:tc>
          <w:tcPr>
            <w:tcW w:type="dxa" w:w="2160"/>
          </w:tcPr>
          <w:p>
            <w:r>
              <w:t>2025-11-16</w:t>
            </w:r>
          </w:p>
        </w:tc>
      </w:tr>
      <w:tr>
        <w:tc>
          <w:tcPr>
            <w:tcW w:type="dxa" w:w="2160"/>
          </w:tcPr>
          <w:p>
            <w:r>
              <w:t>Intuitive neutral middleware</w:t>
            </w:r>
          </w:p>
        </w:tc>
        <w:tc>
          <w:tcPr>
            <w:tcW w:type="dxa" w:w="2160"/>
          </w:tcPr>
          <w:p>
            <w:r>
              <w:t>Ana King</w:t>
            </w:r>
          </w:p>
        </w:tc>
        <w:tc>
          <w:tcPr>
            <w:tcW w:type="dxa" w:w="2160"/>
          </w:tcPr>
          <w:p>
            <w:r>
              <w:t>HR</w:t>
            </w:r>
          </w:p>
        </w:tc>
        <w:tc>
          <w:tcPr>
            <w:tcW w:type="dxa" w:w="2160"/>
          </w:tcPr>
          <w:p>
            <w:r>
              <w:t>2025-11-12</w:t>
            </w:r>
          </w:p>
        </w:tc>
      </w:tr>
      <w:tr>
        <w:tc>
          <w:tcPr>
            <w:tcW w:type="dxa" w:w="2160"/>
          </w:tcPr>
          <w:p>
            <w:r>
              <w:t>Extended hybrid firmware</w:t>
            </w:r>
          </w:p>
        </w:tc>
        <w:tc>
          <w:tcPr>
            <w:tcW w:type="dxa" w:w="2160"/>
          </w:tcPr>
          <w:p>
            <w:r>
              <w:t>Paul Gates</w:t>
            </w:r>
          </w:p>
        </w:tc>
        <w:tc>
          <w:tcPr>
            <w:tcW w:type="dxa" w:w="2160"/>
          </w:tcPr>
          <w:p>
            <w:r>
              <w:t>HR</w:t>
            </w:r>
          </w:p>
        </w:tc>
        <w:tc>
          <w:tcPr>
            <w:tcW w:type="dxa" w:w="2160"/>
          </w:tcPr>
          <w:p>
            <w:r>
              <w:t>2025-11-12</w:t>
            </w:r>
          </w:p>
        </w:tc>
      </w:tr>
      <w:tr>
        <w:tc>
          <w:tcPr>
            <w:tcW w:type="dxa" w:w="2160"/>
          </w:tcPr>
          <w:p>
            <w:r>
              <w:t>Integrated solution-oriented functionalities</w:t>
            </w:r>
          </w:p>
        </w:tc>
        <w:tc>
          <w:tcPr>
            <w:tcW w:type="dxa" w:w="2160"/>
          </w:tcPr>
          <w:p>
            <w:r>
              <w:t>Daniel Santiago</w:t>
            </w:r>
          </w:p>
        </w:tc>
        <w:tc>
          <w:tcPr>
            <w:tcW w:type="dxa" w:w="2160"/>
          </w:tcPr>
          <w:p>
            <w:r>
              <w:t>Sales</w:t>
            </w:r>
          </w:p>
        </w:tc>
        <w:tc>
          <w:tcPr>
            <w:tcW w:type="dxa" w:w="2160"/>
          </w:tcPr>
          <w:p>
            <w:r>
              <w:t>2025-11-28</w:t>
            </w:r>
          </w:p>
        </w:tc>
      </w:tr>
      <w:tr>
        <w:tc>
          <w:tcPr>
            <w:tcW w:type="dxa" w:w="2160"/>
          </w:tcPr>
          <w:p>
            <w:r>
              <w:t>Devolved explicit parallelism</w:t>
            </w:r>
          </w:p>
        </w:tc>
        <w:tc>
          <w:tcPr>
            <w:tcW w:type="dxa" w:w="2160"/>
          </w:tcPr>
          <w:p>
            <w:r>
              <w:t>Carl Harper</w:t>
            </w:r>
          </w:p>
        </w:tc>
        <w:tc>
          <w:tcPr>
            <w:tcW w:type="dxa" w:w="2160"/>
          </w:tcPr>
          <w:p>
            <w:r>
              <w:t>Sales</w:t>
            </w:r>
          </w:p>
        </w:tc>
        <w:tc>
          <w:tcPr>
            <w:tcW w:type="dxa" w:w="2160"/>
          </w:tcPr>
          <w:p>
            <w:r>
              <w:t>2025-11-28</w:t>
            </w:r>
          </w:p>
        </w:tc>
      </w:tr>
      <w:tr>
        <w:tc>
          <w:tcPr>
            <w:tcW w:type="dxa" w:w="2160"/>
          </w:tcPr>
          <w:p>
            <w:r>
              <w:t>Reduced actuating project</w:t>
            </w:r>
          </w:p>
        </w:tc>
        <w:tc>
          <w:tcPr>
            <w:tcW w:type="dxa" w:w="2160"/>
          </w:tcPr>
          <w:p>
            <w:r>
              <w:t>Kevin Garcia</w:t>
            </w:r>
          </w:p>
        </w:tc>
        <w:tc>
          <w:tcPr>
            <w:tcW w:type="dxa" w:w="2160"/>
          </w:tcPr>
          <w:p>
            <w:r>
              <w:t>Engineering</w:t>
            </w:r>
          </w:p>
        </w:tc>
        <w:tc>
          <w:tcPr>
            <w:tcW w:type="dxa" w:w="2160"/>
          </w:tcPr>
          <w:p>
            <w:r>
              <w:t>2025-11-20</w:t>
            </w:r>
          </w:p>
        </w:tc>
      </w:tr>
      <w:tr>
        <w:tc>
          <w:tcPr>
            <w:tcW w:type="dxa" w:w="2160"/>
          </w:tcPr>
          <w:p>
            <w:r>
              <w:t>Streamlined heuristic focus group</w:t>
            </w:r>
          </w:p>
        </w:tc>
        <w:tc>
          <w:tcPr>
            <w:tcW w:type="dxa" w:w="2160"/>
          </w:tcPr>
          <w:p>
            <w:r>
              <w:t>Matthew Burch</w:t>
            </w:r>
          </w:p>
        </w:tc>
        <w:tc>
          <w:tcPr>
            <w:tcW w:type="dxa" w:w="2160"/>
          </w:tcPr>
          <w:p>
            <w:r>
              <w:t>Engineering</w:t>
            </w:r>
          </w:p>
        </w:tc>
        <w:tc>
          <w:tcPr>
            <w:tcW w:type="dxa" w:w="2160"/>
          </w:tcPr>
          <w:p>
            <w:r>
              <w:t>2025-11-12</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